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EA0" w:rsidRDefault="00BB1EA0" w:rsidP="00BB1EA0">
      <w:pPr>
        <w:pStyle w:val="a3"/>
        <w:spacing w:after="0"/>
        <w:jc w:val="center"/>
      </w:pPr>
      <w:r>
        <w:t>РОССИЙСКАЯ ФЕДЕРАЦИЯ</w:t>
      </w:r>
    </w:p>
    <w:p w:rsidR="00BB1EA0" w:rsidRDefault="00BB1EA0" w:rsidP="00BB1EA0">
      <w:pPr>
        <w:pStyle w:val="a3"/>
        <w:spacing w:after="0"/>
        <w:jc w:val="center"/>
      </w:pPr>
      <w:r>
        <w:t>ИРКУТСКАЯ ОБЛАСТЬ</w:t>
      </w:r>
    </w:p>
    <w:p w:rsidR="00BB1EA0" w:rsidRDefault="00BB1EA0" w:rsidP="00BB1EA0">
      <w:pPr>
        <w:pStyle w:val="a3"/>
        <w:spacing w:after="0"/>
        <w:jc w:val="center"/>
      </w:pPr>
      <w:r>
        <w:t>БАЯНДАЕВСКИЙ РАЙОН</w:t>
      </w:r>
    </w:p>
    <w:p w:rsidR="00BB1EA0" w:rsidRDefault="00BB1EA0" w:rsidP="00BB1EA0">
      <w:pPr>
        <w:pStyle w:val="a3"/>
        <w:spacing w:after="0"/>
        <w:jc w:val="center"/>
      </w:pPr>
      <w:r>
        <w:t>МУНИЦИПАЛЬНОЕ ОБРАЗОВАНИЕ «ПОКРОВКА»</w:t>
      </w:r>
    </w:p>
    <w:p w:rsidR="00BB1EA0" w:rsidRDefault="00BB1EA0" w:rsidP="00BB1EA0">
      <w:pPr>
        <w:pStyle w:val="a3"/>
        <w:spacing w:after="0"/>
        <w:jc w:val="center"/>
      </w:pPr>
      <w:r>
        <w:t xml:space="preserve">ПОСТАНОВЛЕНИЕ </w:t>
      </w:r>
    </w:p>
    <w:p w:rsidR="00BB1EA0" w:rsidRDefault="00BB1EA0" w:rsidP="00BB1EA0">
      <w:pPr>
        <w:pStyle w:val="a3"/>
        <w:spacing w:after="0"/>
        <w:jc w:val="center"/>
      </w:pPr>
      <w:r>
        <w:t>№ 31</w:t>
      </w:r>
    </w:p>
    <w:p w:rsidR="00BB1EA0" w:rsidRDefault="00BB1EA0" w:rsidP="00BB1EA0">
      <w:pPr>
        <w:pStyle w:val="a3"/>
        <w:spacing w:after="0"/>
        <w:jc w:val="center"/>
      </w:pPr>
    </w:p>
    <w:p w:rsidR="00BB1EA0" w:rsidRDefault="00BB1EA0" w:rsidP="00BB1EA0">
      <w:pPr>
        <w:pStyle w:val="a3"/>
        <w:spacing w:after="0"/>
        <w:jc w:val="center"/>
      </w:pPr>
    </w:p>
    <w:p w:rsidR="00BB1EA0" w:rsidRDefault="00BB1EA0" w:rsidP="00BB1EA0">
      <w:pPr>
        <w:pStyle w:val="a3"/>
        <w:tabs>
          <w:tab w:val="left" w:pos="7620"/>
        </w:tabs>
        <w:spacing w:after="0"/>
      </w:pPr>
      <w:r>
        <w:t xml:space="preserve">от «27» июля 2012 года </w:t>
      </w:r>
      <w:r>
        <w:tab/>
      </w:r>
      <w:proofErr w:type="gramStart"/>
      <w:r>
        <w:t>с</w:t>
      </w:r>
      <w:proofErr w:type="gramEnd"/>
      <w:r>
        <w:t>. Покровка</w:t>
      </w:r>
    </w:p>
    <w:p w:rsidR="00BB1EA0" w:rsidRDefault="00BB1EA0" w:rsidP="00BB1EA0">
      <w:pPr>
        <w:pStyle w:val="a3"/>
        <w:spacing w:after="0"/>
      </w:pPr>
    </w:p>
    <w:p w:rsidR="00BB1EA0" w:rsidRDefault="00BB1EA0" w:rsidP="00BB1EA0">
      <w:pPr>
        <w:pStyle w:val="a3"/>
        <w:spacing w:after="0"/>
      </w:pPr>
      <w:r>
        <w:t>Об утверждении инструкции о порядке сбора,</w:t>
      </w:r>
      <w:r>
        <w:br/>
        <w:t>хранения, транспортировки ртутьсодержащих ламп.</w:t>
      </w:r>
    </w:p>
    <w:p w:rsidR="00BB1EA0" w:rsidRDefault="00BB1EA0" w:rsidP="00BB1EA0">
      <w:pPr>
        <w:pStyle w:val="a3"/>
        <w:spacing w:after="0"/>
      </w:pPr>
    </w:p>
    <w:p w:rsidR="00BB1EA0" w:rsidRDefault="00BB1EA0" w:rsidP="00BB1EA0">
      <w:pPr>
        <w:pStyle w:val="a3"/>
        <w:spacing w:after="0"/>
      </w:pPr>
      <w:proofErr w:type="gramStart"/>
      <w:r>
        <w:t>Во исполнение Федерального закона от 23.11.2009 года №261-ФЗ «Об энергосбережении и о повышении энергетической необходимости о внесении изменений в отдельные законодательные акты Российской Федерации, в соответствии с требованиями Закона РФ № 52-ФЗ от 30.03.1999 г. «О санитарно-эпидемиологическом благополучии населения», «санитарных правил при работе с ртутью, ее соединениями и приборами с ртутным заполнением» от 04.04.1988 г. № 4607-88 «методическими рекомендациями по контролю за</w:t>
      </w:r>
      <w:proofErr w:type="gramEnd"/>
      <w:r>
        <w:t xml:space="preserve"> организацией текущей заключительной </w:t>
      </w:r>
      <w:proofErr w:type="spellStart"/>
      <w:r>
        <w:t>демеркуризацией</w:t>
      </w:r>
      <w:proofErr w:type="spellEnd"/>
      <w:r>
        <w:t xml:space="preserve"> и оценки ее эффективности» от 31.12.1987 г. № 4515-87: руководствуясь статьями 6 Устава муниципального образования «Покровка»:</w:t>
      </w:r>
    </w:p>
    <w:p w:rsidR="00BB1EA0" w:rsidRDefault="00BB1EA0" w:rsidP="00BB1EA0">
      <w:pPr>
        <w:pStyle w:val="a3"/>
        <w:numPr>
          <w:ilvl w:val="0"/>
          <w:numId w:val="1"/>
        </w:numPr>
        <w:spacing w:beforeAutospacing="0" w:after="0"/>
      </w:pPr>
      <w:r>
        <w:t>Утвердить «Инструкцию о порядке сбора, хранения, транспортировки ртутьсодержащих ламп (отработанные, брак) на утилизацию» (Приложение 1)</w:t>
      </w:r>
    </w:p>
    <w:p w:rsidR="00BB1EA0" w:rsidRDefault="00BB1EA0" w:rsidP="00BB1EA0">
      <w:pPr>
        <w:pStyle w:val="a3"/>
        <w:numPr>
          <w:ilvl w:val="0"/>
          <w:numId w:val="1"/>
        </w:numPr>
        <w:spacing w:beforeAutospacing="0" w:after="0"/>
      </w:pPr>
      <w:r>
        <w:t>Настоящее постановление подлежит официальному опубликованию в газете «Вестник МО «Покровка».</w:t>
      </w:r>
    </w:p>
    <w:p w:rsidR="00BB1EA0" w:rsidRDefault="00BB1EA0" w:rsidP="00BB1EA0">
      <w:pPr>
        <w:pStyle w:val="a3"/>
        <w:spacing w:after="0"/>
      </w:pPr>
    </w:p>
    <w:p w:rsidR="00BB1EA0" w:rsidRDefault="00BB1EA0" w:rsidP="00BB1EA0">
      <w:pPr>
        <w:pStyle w:val="a3"/>
        <w:spacing w:after="0"/>
      </w:pPr>
      <w:r>
        <w:t>Глава МО «Покровка»</w:t>
      </w:r>
      <w:proofErr w:type="gramStart"/>
      <w:r>
        <w:t xml:space="preserve"> :</w:t>
      </w:r>
      <w:proofErr w:type="gramEnd"/>
      <w:r>
        <w:t xml:space="preserve">                                                                       Т.В. Мешков.</w:t>
      </w:r>
    </w:p>
    <w:p w:rsidR="00BB1EA0" w:rsidRDefault="00BB1EA0" w:rsidP="00BB1EA0">
      <w:pPr>
        <w:pStyle w:val="a3"/>
        <w:spacing w:after="0"/>
      </w:pPr>
    </w:p>
    <w:p w:rsidR="00BB1EA0" w:rsidRDefault="00BB1EA0" w:rsidP="00BB1EA0">
      <w:pPr>
        <w:pStyle w:val="a3"/>
        <w:spacing w:after="0"/>
      </w:pPr>
    </w:p>
    <w:p w:rsidR="00BB1EA0" w:rsidRDefault="00BB1EA0" w:rsidP="00BB1EA0">
      <w:pPr>
        <w:pStyle w:val="a3"/>
        <w:spacing w:after="0"/>
        <w:jc w:val="right"/>
      </w:pPr>
    </w:p>
    <w:p w:rsidR="00BB1EA0" w:rsidRDefault="00BB1EA0" w:rsidP="00BB1EA0">
      <w:pPr>
        <w:pStyle w:val="a3"/>
        <w:spacing w:after="0"/>
        <w:jc w:val="right"/>
      </w:pPr>
    </w:p>
    <w:p w:rsidR="00BB1EA0" w:rsidRDefault="00BB1EA0" w:rsidP="00BB1EA0">
      <w:pPr>
        <w:pStyle w:val="a3"/>
        <w:spacing w:after="0"/>
        <w:jc w:val="right"/>
      </w:pPr>
      <w:r>
        <w:lastRenderedPageBreak/>
        <w:t>Приложение 1</w:t>
      </w:r>
    </w:p>
    <w:p w:rsidR="00BB1EA0" w:rsidRDefault="00BB1EA0" w:rsidP="00BB1EA0">
      <w:pPr>
        <w:pStyle w:val="a3"/>
        <w:spacing w:after="0"/>
        <w:jc w:val="right"/>
      </w:pPr>
      <w:r>
        <w:t xml:space="preserve">к постановлению главы </w:t>
      </w:r>
    </w:p>
    <w:p w:rsidR="00BB1EA0" w:rsidRDefault="00BB1EA0" w:rsidP="00BB1EA0">
      <w:pPr>
        <w:pStyle w:val="a3"/>
        <w:spacing w:after="0"/>
        <w:jc w:val="right"/>
      </w:pPr>
      <w:r>
        <w:t xml:space="preserve">МО «Покровка» </w:t>
      </w:r>
    </w:p>
    <w:p w:rsidR="00BB1EA0" w:rsidRDefault="00BB1EA0" w:rsidP="00BB1EA0">
      <w:pPr>
        <w:pStyle w:val="a3"/>
        <w:spacing w:after="0"/>
        <w:jc w:val="right"/>
      </w:pPr>
      <w:r>
        <w:t>от «27» июля 2012 года № 31</w:t>
      </w:r>
    </w:p>
    <w:p w:rsidR="00BB1EA0" w:rsidRPr="002C44F2" w:rsidRDefault="00BB1EA0" w:rsidP="00BB1EA0">
      <w:pPr>
        <w:pStyle w:val="a3"/>
        <w:spacing w:after="0"/>
        <w:jc w:val="center"/>
      </w:pPr>
      <w:r w:rsidRPr="002C44F2">
        <w:rPr>
          <w:bCs/>
        </w:rPr>
        <w:t>ИНСТРУКЦИЯ О ПОРЯДКЕ СБОРА, ХРАНЕНИЯ, ТРАНСПОРТИРОВКИ РТУТЬСОДЕРЖАЩИХ ЛАМП (ОТРАБОТАННЫЕ, БРАК) НА УТИЛИЗАЦИЮ</w:t>
      </w:r>
    </w:p>
    <w:p w:rsidR="00BB1EA0" w:rsidRDefault="00BB1EA0" w:rsidP="00BB1EA0">
      <w:pPr>
        <w:pStyle w:val="a3"/>
        <w:spacing w:after="0"/>
      </w:pPr>
      <w:proofErr w:type="gramStart"/>
      <w:r>
        <w:t>Инструкция подготовлена в рамках реализации Федерального закона от 23.11.2009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в соответствии с требованиями Закона РФ № 52-ФЗ от 30.03.1999 года «О санитарно-эпидемиологическом благополучии населения», «Санитарных правил при работе с ртутью, ее соединениями и приборами с ртутным заполнением» от 04.04.1988 года № 4607-88, методическими</w:t>
      </w:r>
      <w:proofErr w:type="gramEnd"/>
      <w:r>
        <w:t xml:space="preserve"> рекомендациями по </w:t>
      </w:r>
      <w:proofErr w:type="gramStart"/>
      <w:r>
        <w:t>контролю за</w:t>
      </w:r>
      <w:proofErr w:type="gramEnd"/>
      <w:r>
        <w:t xml:space="preserve"> организацией текущей заключительной </w:t>
      </w:r>
      <w:proofErr w:type="spellStart"/>
      <w:r>
        <w:t>демеркуризацией</w:t>
      </w:r>
      <w:proofErr w:type="spellEnd"/>
      <w:r>
        <w:t xml:space="preserve"> и оценке ее эффективности» от 31.12.1987 г. № 4515-87.На территории муниципального образования отсутствует централизованная система сбора, временного хранения и утилизации ртутьсодержащих ламп, предприятия ответственные за проведение работы в этом направлении. Предлагаемые направления деятельности обращения с ртутьсодержащими лампами обозначают основные направления в обеспечении безопасности с их обращением и могут дополняться другими направлениями исходя из ситуации на каждой территории.</w:t>
      </w:r>
    </w:p>
    <w:p w:rsidR="00BB1EA0" w:rsidRDefault="00BB1EA0" w:rsidP="00BB1EA0">
      <w:pPr>
        <w:pStyle w:val="a3"/>
        <w:numPr>
          <w:ilvl w:val="0"/>
          <w:numId w:val="2"/>
        </w:numPr>
        <w:spacing w:beforeAutospacing="0" w:after="0"/>
      </w:pPr>
      <w:r>
        <w:rPr>
          <w:b/>
          <w:bCs/>
        </w:rPr>
        <w:t>Общие положения</w:t>
      </w:r>
    </w:p>
    <w:p w:rsidR="00BB1EA0" w:rsidRDefault="00BB1EA0" w:rsidP="00BB1EA0">
      <w:pPr>
        <w:pStyle w:val="a3"/>
        <w:spacing w:after="0"/>
      </w:pPr>
      <w:proofErr w:type="gramStart"/>
      <w:r>
        <w:t>К ртутьсодержащим отходам, на утилизацию относятся люминесцентные лампы всех типов, лампы ДРЛ, энергосберегающие (компактные люминесцентные лампы – КЛЛ), неоновые, бактерицидные и другие ртутьсодержащие лампы, отработанные приборы с ртутным заполнением, ртуть из вышедших из строя приборов, другие виды отходов, для утилизации которых разработана технология переработки.</w:t>
      </w:r>
      <w:proofErr w:type="gramEnd"/>
      <w:r>
        <w:t xml:space="preserve"> </w:t>
      </w:r>
      <w:proofErr w:type="gramStart"/>
      <w:r>
        <w:t>По гигиенической классификации ртуть относится к первому классу опасности (чрезвычайно опасное химической вещество).</w:t>
      </w:r>
      <w:proofErr w:type="gramEnd"/>
      <w:r>
        <w:t xml:space="preserve"> Предельно допустимая концентрация ртути в атмосферном воздухе и воздухе жилых, общественных помещений составляет 0,0003 мг/м3. В закрытом и не проветриваемом помещении в результате повреждения одной лампы кратковременно, в течение нескольких часов, возможно достижение концентрации ртути в воздухе до 0,05 мг/м3, что превышает предельно допустимую концентрацию в 160 раз.</w:t>
      </w:r>
    </w:p>
    <w:p w:rsidR="00BB1EA0" w:rsidRDefault="00BB1EA0" w:rsidP="00BB1EA0">
      <w:pPr>
        <w:pStyle w:val="a3"/>
        <w:spacing w:after="0"/>
      </w:pPr>
      <w:r>
        <w:t xml:space="preserve">В перечень образующихся отходов на предприятиях, организациях, учреждениях, учебных заведениях и здравоохранении и т.д. входят люминесцентные лампы и лампы ДРЛ, к сбору, сортировке и приемке которых инструкцией предъявляются стандартные требования. В лампах содержится до 5 мг ртути, находящейся в агрегатном состоянии в виде паров. Поэтому опасность представляет не только процесс утилизации отработанных ламп, но и частое неаккуратное обращение с ними. Разрушенная и поврежденная колба лампы вызывает высвобождение паров ртути, которые могут вызвать тяжелое отравление. Пары ртути не имеют запаха, проникновение при вдыхании. Отравление связано с поражением нервной системы, печени, почек, желудочно-кишечного тракта. С вступлением в действие Закона РФ № 261 будет отмечаться поэтапная замена ламп накаливания на энергосберегающие лампы, в </w:t>
      </w:r>
      <w:proofErr w:type="spellStart"/>
      <w:r>
        <w:t>т.ч</w:t>
      </w:r>
      <w:proofErr w:type="spellEnd"/>
      <w:r>
        <w:t>. для населения на КЛЛ, возрастает риск здоровью при нарушении герметичности колбы (трубки) лампы в условиях отсутствия отлаженной системы сбора, временного хранения и утилизации.</w:t>
      </w:r>
    </w:p>
    <w:p w:rsidR="00BB1EA0" w:rsidRDefault="00BB1EA0" w:rsidP="00BB1EA0">
      <w:pPr>
        <w:pStyle w:val="a3"/>
        <w:spacing w:after="0"/>
      </w:pPr>
      <w:r>
        <w:lastRenderedPageBreak/>
        <w:t>Сбор ртутьсодержащих ламп (отработанных) производится на месте их образования. Для временного хранения на предприятиях (организации) выделяется отдельное закрытое помещение, не имеющее доступ посторонних лиц. Стены помещения должны быть гладкие, оштукатуренные, пол бетонный. В помещении устанавливаются стеллажи для временного хранения ламп. Количество стеллажей устанавливают исходя из фактического числа образующихся отработанных ламп в течение года. Приказом учреждения назначается лицо, ответственное за обращение с отходами производства и потребления и прошедшее обучение.</w:t>
      </w:r>
    </w:p>
    <w:p w:rsidR="00BB1EA0" w:rsidRDefault="00BB1EA0" w:rsidP="00BB1EA0">
      <w:pPr>
        <w:pStyle w:val="a3"/>
        <w:numPr>
          <w:ilvl w:val="0"/>
          <w:numId w:val="3"/>
        </w:numPr>
        <w:spacing w:beforeAutospacing="0" w:after="0"/>
      </w:pPr>
      <w:r>
        <w:rPr>
          <w:b/>
          <w:bCs/>
        </w:rPr>
        <w:t>Требования к сбору и сортировке ртутьсодержащих ламп с неразрушенной колбой на предприятиях и в организациях.</w:t>
      </w:r>
    </w:p>
    <w:p w:rsidR="00BB1EA0" w:rsidRDefault="00BB1EA0" w:rsidP="00BB1EA0">
      <w:pPr>
        <w:pStyle w:val="a3"/>
        <w:spacing w:after="0"/>
      </w:pPr>
      <w:r>
        <w:t>В процессе сбора отработанные люминесцентные лампы разделяются по диаметру и длине и устанавливаются вертикально в специальную тару (картон). В зависимости от высоты ламп применяется специальная тара разного размера.</w:t>
      </w:r>
    </w:p>
    <w:p w:rsidR="00BB1EA0" w:rsidRDefault="00BB1EA0" w:rsidP="00BB1EA0">
      <w:pPr>
        <w:pStyle w:val="a3"/>
        <w:spacing w:after="0"/>
      </w:pPr>
      <w:proofErr w:type="spellStart"/>
      <w:r>
        <w:t>Спецтара</w:t>
      </w:r>
      <w:proofErr w:type="spellEnd"/>
      <w:r>
        <w:t xml:space="preserve"> для люминесцентных ламп размером 60 см. имеет вес не превышающий 5 кг., высоту 600 мм, диметр 300 </w:t>
      </w:r>
      <w:proofErr w:type="spellStart"/>
      <w:r>
        <w:t>мм</w:t>
      </w:r>
      <w:proofErr w:type="gramStart"/>
      <w:r>
        <w:t>.з</w:t>
      </w:r>
      <w:proofErr w:type="gramEnd"/>
      <w:r>
        <w:t>акрывается</w:t>
      </w:r>
      <w:proofErr w:type="spellEnd"/>
      <w:r>
        <w:t xml:space="preserve"> крышкой. </w:t>
      </w:r>
      <w:proofErr w:type="spellStart"/>
      <w:r>
        <w:t>Спецтара</w:t>
      </w:r>
      <w:proofErr w:type="spellEnd"/>
      <w:r>
        <w:t xml:space="preserve"> для всех типов ламп, имеет вес, не превышающий 10 кг, высоту от 1000 до 1500 мм, диметр 450 </w:t>
      </w:r>
      <w:proofErr w:type="spellStart"/>
      <w:r>
        <w:t>мм</w:t>
      </w:r>
      <w:proofErr w:type="gramStart"/>
      <w:r>
        <w:t>.з</w:t>
      </w:r>
      <w:proofErr w:type="gramEnd"/>
      <w:r>
        <w:t>акрывается</w:t>
      </w:r>
      <w:proofErr w:type="spellEnd"/>
      <w:r>
        <w:t xml:space="preserve"> крышкой. (вес и размер </w:t>
      </w:r>
      <w:proofErr w:type="spellStart"/>
      <w:r>
        <w:t>спецтары</w:t>
      </w:r>
      <w:proofErr w:type="spellEnd"/>
      <w:r>
        <w:t xml:space="preserve"> регламентируется условиями транспортировки, ручной погрузки – разгрузки и требованиями норм труда для всех видов работ). Лампы в </w:t>
      </w:r>
      <w:proofErr w:type="spellStart"/>
      <w:r>
        <w:t>спецтаре</w:t>
      </w:r>
      <w:proofErr w:type="spellEnd"/>
      <w:r>
        <w:t xml:space="preserve"> должны быть установлены плотно, вертикально, опираться на цоколи, быть сухими. В каждую отдельную тару загружаются лампы одного размера. В случае нехватки ламп для последней </w:t>
      </w:r>
      <w:proofErr w:type="spellStart"/>
      <w:r>
        <w:t>спецтары</w:t>
      </w:r>
      <w:proofErr w:type="spellEnd"/>
      <w:r>
        <w:t>, пустоты заполняются мягким амортизирующим материалом или, в виде исключения лампами другого размера. Допускается установка в два ряда ламп длиной менее 600 мм.</w:t>
      </w:r>
    </w:p>
    <w:p w:rsidR="00BB1EA0" w:rsidRDefault="00BB1EA0" w:rsidP="00BB1EA0">
      <w:pPr>
        <w:pStyle w:val="a3"/>
        <w:spacing w:after="0"/>
      </w:pPr>
      <w:r>
        <w:t>Для ламп КЛЛ возможно использование разных видов тары. Основное условие к требованиям безопасности – надежность упаковки и предотвращение боя при транспортировке.</w:t>
      </w:r>
    </w:p>
    <w:p w:rsidR="00BB1EA0" w:rsidRDefault="00BB1EA0" w:rsidP="00BB1EA0">
      <w:pPr>
        <w:pStyle w:val="a3"/>
        <w:numPr>
          <w:ilvl w:val="0"/>
          <w:numId w:val="4"/>
        </w:numPr>
        <w:spacing w:beforeAutospacing="0" w:after="0"/>
      </w:pPr>
      <w:r>
        <w:rPr>
          <w:b/>
          <w:bCs/>
        </w:rPr>
        <w:t>Требования к сбору и приемке боя ртутьсодержащих ламп.</w:t>
      </w:r>
    </w:p>
    <w:p w:rsidR="00BB1EA0" w:rsidRDefault="00BB1EA0" w:rsidP="00BB1EA0">
      <w:pPr>
        <w:pStyle w:val="a3"/>
        <w:spacing w:after="0"/>
      </w:pPr>
      <w:r>
        <w:t xml:space="preserve">В случае боя ламп от неосторожного обращения в местах временного хранения, части разбитых ламп и пол помещения должны быть подвергнуты </w:t>
      </w:r>
      <w:proofErr w:type="spellStart"/>
      <w:r>
        <w:t>демеркуризации</w:t>
      </w:r>
      <w:proofErr w:type="spellEnd"/>
      <w:r>
        <w:t xml:space="preserve">. Вследствие того, что разбитые лампы загрязняют внешние поверхности целых ламп, спецодежду персонала, не допускается их совместное хранение и тем более сбор в одни и те же </w:t>
      </w:r>
      <w:proofErr w:type="spellStart"/>
      <w:r>
        <w:t>спецтары.</w:t>
      </w:r>
      <w:bookmarkStart w:id="0" w:name="_GoBack"/>
      <w:bookmarkEnd w:id="0"/>
      <w:r>
        <w:t>В</w:t>
      </w:r>
      <w:proofErr w:type="spellEnd"/>
      <w:r>
        <w:t xml:space="preserve"> случае накопления значительных количеств битых ламп в целях предотвращения расползания загрязненности рекомендуется заключить договор на их обезвреживание на месте с </w:t>
      </w:r>
      <w:proofErr w:type="spellStart"/>
      <w:r>
        <w:t>демеркуризацией</w:t>
      </w:r>
      <w:proofErr w:type="spellEnd"/>
      <w:r>
        <w:t xml:space="preserve"> загрязненных территорий, помещений и вызовом отработанных </w:t>
      </w:r>
      <w:proofErr w:type="spellStart"/>
      <w:r>
        <w:t>демеркуризационных</w:t>
      </w:r>
      <w:proofErr w:type="spellEnd"/>
      <w:r>
        <w:t xml:space="preserve"> растворов для дальнейшей переработки. При необходимости проводится лабораторный контроль содержания ртути в помещении, берутся пробы штукатурки на всю глубину для исследования содержания ртути. При выявлении концентраций превышающих нормативные требования проводятся работы с удалением штукатурки, деревянных конструкций. Исполнитель предоставляет </w:t>
      </w:r>
      <w:proofErr w:type="spellStart"/>
      <w:r>
        <w:t>демеркуризационный</w:t>
      </w:r>
      <w:proofErr w:type="spellEnd"/>
      <w:r>
        <w:t xml:space="preserve"> раствор, позволяющий оперативно произвести обезвреживание, загрязненные растворы отправляются для обезвреживания переработчику.</w:t>
      </w:r>
    </w:p>
    <w:p w:rsidR="00BB1EA0" w:rsidRDefault="00BB1EA0" w:rsidP="00BB1EA0">
      <w:pPr>
        <w:pStyle w:val="a3"/>
        <w:spacing w:after="0"/>
      </w:pPr>
      <w:r>
        <w:t xml:space="preserve">В целях соблюдения экологической безопасности при обращении с ртутьсодержащими отходами, в случае обнаружения в </w:t>
      </w:r>
      <w:proofErr w:type="spellStart"/>
      <w:r>
        <w:t>спецтаре</w:t>
      </w:r>
      <w:proofErr w:type="spellEnd"/>
      <w:r>
        <w:t xml:space="preserve"> незаявленного боя ртутьсодержащих ламп и горелок ДРЛ в количестве 3 % от общей массы отходов весь объем отходов считается боем и подлежит утилизации </w:t>
      </w:r>
      <w:proofErr w:type="gramStart"/>
      <w:r>
        <w:t>согласно расценок</w:t>
      </w:r>
      <w:proofErr w:type="gramEnd"/>
      <w:r>
        <w:t xml:space="preserve"> боя люминесцентных ламп и ламп ДРЛ.</w:t>
      </w:r>
    </w:p>
    <w:p w:rsidR="00BB1EA0" w:rsidRDefault="00BB1EA0" w:rsidP="00BB1EA0">
      <w:pPr>
        <w:pStyle w:val="a3"/>
        <w:spacing w:after="0"/>
      </w:pPr>
      <w:r>
        <w:lastRenderedPageBreak/>
        <w:t xml:space="preserve">В организациях, бытовых условиях для </w:t>
      </w:r>
      <w:proofErr w:type="spellStart"/>
      <w:r>
        <w:t>демеркуризации</w:t>
      </w:r>
      <w:proofErr w:type="spellEnd"/>
      <w:r>
        <w:t xml:space="preserve"> (обезвреживания) частей разбитых ламп могут быть использованы следующие вещества:</w:t>
      </w:r>
    </w:p>
    <w:p w:rsidR="00BB1EA0" w:rsidRDefault="00BB1EA0" w:rsidP="00BB1EA0">
      <w:pPr>
        <w:pStyle w:val="a3"/>
        <w:numPr>
          <w:ilvl w:val="0"/>
          <w:numId w:val="5"/>
        </w:numPr>
        <w:spacing w:beforeAutospacing="0" w:after="0"/>
      </w:pPr>
      <w:r>
        <w:t>Мыльно – содовый раствор (4% р-р мыла в 5%-ном растворе соды – один хозяйственного мыла и 200 гр. соды растворяется в горячей воде с температурой 60° в объеме 10 л.);</w:t>
      </w:r>
    </w:p>
    <w:p w:rsidR="00BB1EA0" w:rsidRDefault="00BB1EA0" w:rsidP="00BB1EA0">
      <w:pPr>
        <w:pStyle w:val="a3"/>
        <w:numPr>
          <w:ilvl w:val="0"/>
          <w:numId w:val="5"/>
        </w:numPr>
        <w:spacing w:beforeAutospacing="0" w:after="0"/>
      </w:pPr>
      <w:r>
        <w:t>0,2-ный водный раствор перманганата калия</w:t>
      </w:r>
      <w:proofErr w:type="gramStart"/>
      <w:r>
        <w:t xml:space="preserve"> ,</w:t>
      </w:r>
      <w:proofErr w:type="gramEnd"/>
      <w:r>
        <w:t xml:space="preserve"> подкисленного соляной кислотой (5 мл кислоты уд. вес 1,19 на 1 л р-</w:t>
      </w:r>
      <w:proofErr w:type="spellStart"/>
      <w:r>
        <w:t>ра</w:t>
      </w:r>
      <w:proofErr w:type="spellEnd"/>
      <w:r>
        <w:t xml:space="preserve"> перманганата калия);</w:t>
      </w:r>
    </w:p>
    <w:p w:rsidR="00BB1EA0" w:rsidRDefault="00BB1EA0" w:rsidP="00BB1EA0">
      <w:pPr>
        <w:pStyle w:val="a3"/>
        <w:numPr>
          <w:ilvl w:val="0"/>
          <w:numId w:val="5"/>
        </w:numPr>
        <w:spacing w:beforeAutospacing="0" w:after="0"/>
      </w:pPr>
      <w:r>
        <w:t>20%-</w:t>
      </w:r>
      <w:proofErr w:type="spellStart"/>
      <w:r>
        <w:t>ный</w:t>
      </w:r>
      <w:proofErr w:type="spellEnd"/>
      <w:r>
        <w:t xml:space="preserve"> раствор хлорной извести.</w:t>
      </w:r>
    </w:p>
    <w:p w:rsidR="00BB1EA0" w:rsidRDefault="00BB1EA0" w:rsidP="00BB1EA0">
      <w:pPr>
        <w:pStyle w:val="a3"/>
        <w:spacing w:after="0"/>
      </w:pPr>
      <w:r>
        <w:t xml:space="preserve">Бой ламп загружается в емкость с раствором и оставляется на сутки. Физико-химические процессы, протекающие при взаимодействии ртути (соединений) с </w:t>
      </w:r>
      <w:proofErr w:type="spellStart"/>
      <w:r>
        <w:t>демеркуризаторами</w:t>
      </w:r>
      <w:proofErr w:type="spellEnd"/>
      <w:r>
        <w:t xml:space="preserve">, заключаются в эмульгировании ртути, окислении ртути и превращении ртути в малотоксичные соединения. При окончании </w:t>
      </w:r>
      <w:proofErr w:type="spellStart"/>
      <w:r>
        <w:t>демеркуризации</w:t>
      </w:r>
      <w:proofErr w:type="spellEnd"/>
      <w:r>
        <w:t xml:space="preserve"> бой ламп удаляется с обычным мусором.</w:t>
      </w:r>
    </w:p>
    <w:p w:rsidR="00BB1EA0" w:rsidRDefault="00BB1EA0" w:rsidP="00BB1EA0">
      <w:pPr>
        <w:pStyle w:val="a3"/>
        <w:numPr>
          <w:ilvl w:val="0"/>
          <w:numId w:val="6"/>
        </w:numPr>
        <w:spacing w:beforeAutospacing="0" w:after="0"/>
      </w:pPr>
      <w:r>
        <w:rPr>
          <w:b/>
          <w:bCs/>
        </w:rPr>
        <w:t>Условия сдачи ламп для перевоза на централизованное хранение для последующей утилизации</w:t>
      </w:r>
    </w:p>
    <w:p w:rsidR="00BB1EA0" w:rsidRDefault="00BB1EA0" w:rsidP="00BB1EA0">
      <w:pPr>
        <w:pStyle w:val="a3"/>
        <w:spacing w:after="0"/>
      </w:pPr>
      <w:r>
        <w:t xml:space="preserve">Основное условие – наличие специализированной организации, имеющей лицензию на организацию, проведение централизованного сбора и временного хранения ламп с ртутным наполнением. Условия определяются наличием отдельного помещения, расчетным объемом возможного поступления ламп, наличием договора со специализированными предприятиями для их отправки на </w:t>
      </w:r>
      <w:proofErr w:type="spellStart"/>
      <w:r>
        <w:t>демеркуризацию</w:t>
      </w:r>
      <w:proofErr w:type="spellEnd"/>
      <w:r>
        <w:t>. Предприятиями, организациями заключаются договора на данный вид услуг. В ходе подготовки к отправке ламп проводятся следующие работы:</w:t>
      </w:r>
    </w:p>
    <w:p w:rsidR="00BB1EA0" w:rsidRDefault="00BB1EA0" w:rsidP="00BB1EA0">
      <w:pPr>
        <w:pStyle w:val="a3"/>
        <w:numPr>
          <w:ilvl w:val="0"/>
          <w:numId w:val="7"/>
        </w:numPr>
        <w:spacing w:beforeAutospacing="0" w:after="0"/>
      </w:pPr>
      <w:r>
        <w:t xml:space="preserve">Подготовка к отправке, </w:t>
      </w:r>
      <w:proofErr w:type="spellStart"/>
      <w:r>
        <w:t>перезатаривание</w:t>
      </w:r>
      <w:proofErr w:type="spellEnd"/>
      <w:r>
        <w:t xml:space="preserve"> ламп в </w:t>
      </w:r>
      <w:proofErr w:type="spellStart"/>
      <w:r>
        <w:t>спецтару</w:t>
      </w:r>
      <w:proofErr w:type="spellEnd"/>
      <w:r>
        <w:t xml:space="preserve">, а также погрузка проводятся силами </w:t>
      </w:r>
      <w:proofErr w:type="spellStart"/>
      <w:r>
        <w:t>спецпредприятия</w:t>
      </w:r>
      <w:proofErr w:type="spellEnd"/>
      <w:r>
        <w:t xml:space="preserve"> или по договору;</w:t>
      </w:r>
    </w:p>
    <w:p w:rsidR="00BB1EA0" w:rsidRDefault="00BB1EA0" w:rsidP="00BB1EA0">
      <w:pPr>
        <w:pStyle w:val="a3"/>
        <w:numPr>
          <w:ilvl w:val="0"/>
          <w:numId w:val="7"/>
        </w:numPr>
        <w:spacing w:beforeAutospacing="0" w:after="0"/>
      </w:pPr>
      <w:r>
        <w:t xml:space="preserve">Контроль подготовленных отходов производится по следующим параметрам: соответствие </w:t>
      </w:r>
      <w:proofErr w:type="spellStart"/>
      <w:r>
        <w:t>спецтары</w:t>
      </w:r>
      <w:proofErr w:type="spellEnd"/>
      <w:r>
        <w:t xml:space="preserve"> стандартному образцу, герметичность донной части </w:t>
      </w:r>
      <w:proofErr w:type="spellStart"/>
      <w:r>
        <w:t>спецтары</w:t>
      </w:r>
      <w:proofErr w:type="spellEnd"/>
      <w:r>
        <w:t xml:space="preserve">, отсутствие в </w:t>
      </w:r>
      <w:proofErr w:type="spellStart"/>
      <w:r>
        <w:t>спецтаре</w:t>
      </w:r>
      <w:proofErr w:type="spellEnd"/>
      <w:r>
        <w:t xml:space="preserve"> ламп с разрушенной колбой, однородность ламп в </w:t>
      </w:r>
      <w:proofErr w:type="spellStart"/>
      <w:r>
        <w:t>спецтаре</w:t>
      </w:r>
      <w:proofErr w:type="spellEnd"/>
      <w:r>
        <w:t xml:space="preserve"> по длине и диаметру. По окончании контроля составляется акт приема – сдачи.</w:t>
      </w:r>
    </w:p>
    <w:p w:rsidR="00BB1EA0" w:rsidRDefault="00BB1EA0" w:rsidP="00BB1EA0">
      <w:pPr>
        <w:pStyle w:val="a3"/>
        <w:numPr>
          <w:ilvl w:val="0"/>
          <w:numId w:val="7"/>
        </w:numPr>
        <w:spacing w:beforeAutospacing="0" w:after="0"/>
      </w:pPr>
      <w:r>
        <w:t>Ответственное лицо заключает при необходимости договор по инструментальному контролю мест сбора и ранения ртутьсодержащих отходов на пары ртути и на утилизацию.</w:t>
      </w:r>
    </w:p>
    <w:p w:rsidR="00BB1EA0" w:rsidRDefault="00BB1EA0" w:rsidP="00BB1EA0">
      <w:pPr>
        <w:pStyle w:val="a3"/>
        <w:spacing w:after="240"/>
      </w:pPr>
    </w:p>
    <w:p w:rsidR="00F92903" w:rsidRDefault="00F92903"/>
    <w:sectPr w:rsidR="00F929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0A41"/>
    <w:multiLevelType w:val="multilevel"/>
    <w:tmpl w:val="0A20E0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94B7C6F"/>
    <w:multiLevelType w:val="multilevel"/>
    <w:tmpl w:val="28B2AE7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F6E7685"/>
    <w:multiLevelType w:val="multilevel"/>
    <w:tmpl w:val="29F025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2EB5B4F"/>
    <w:multiLevelType w:val="multilevel"/>
    <w:tmpl w:val="4D58B8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FA76CCA"/>
    <w:multiLevelType w:val="multilevel"/>
    <w:tmpl w:val="B40A8D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7594210"/>
    <w:multiLevelType w:val="multilevel"/>
    <w:tmpl w:val="28105BC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F051AE1"/>
    <w:multiLevelType w:val="multilevel"/>
    <w:tmpl w:val="DA18726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BB8"/>
    <w:rsid w:val="000D4DC3"/>
    <w:rsid w:val="00BB1EA0"/>
    <w:rsid w:val="00F35BB8"/>
    <w:rsid w:val="00F92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B1EA0"/>
    <w:pPr>
      <w:spacing w:before="100" w:beforeAutospacing="1" w:after="115"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B1EA0"/>
    <w:pPr>
      <w:spacing w:before="100" w:beforeAutospacing="1" w:after="115"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1445</Words>
  <Characters>8243</Characters>
  <Application>Microsoft Office Word</Application>
  <DocSecurity>0</DocSecurity>
  <Lines>68</Lines>
  <Paragraphs>19</Paragraphs>
  <ScaleCrop>false</ScaleCrop>
  <Company/>
  <LinksUpToDate>false</LinksUpToDate>
  <CharactersWithSpaces>9669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2016-03-01T02:51:00Z</dcterms:created>
  <dcterms:modified xsi:type="dcterms:W3CDTF">2016-03-01T02:51:00Z</dcterms:modified>
</cp:coreProperties>
</file>